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Times New Roman" w:cs="Times New Roman" w:ascii="inherit" w:hAnsi="inherit"/>
          <w:b/>
          <w:sz w:val="28"/>
          <w:szCs w:val="28"/>
          <w:lang w:eastAsia="ru-RU"/>
        </w:rPr>
      </w:pPr>
      <w:bookmarkStart w:id="0" w:name="__DdeLink__6300_1393862365"/>
      <w:bookmarkEnd w:id="0"/>
      <w:r>
        <w:rPr>
          <w:rFonts w:eastAsia="Times New Roman" w:cs="Times New Roman" w:ascii="inherit" w:hAnsi="inherit"/>
          <w:b/>
          <w:sz w:val="28"/>
          <w:szCs w:val="28"/>
          <w:lang w:eastAsia="ru-RU"/>
        </w:rPr>
        <w:t>О приборах учета и их установке</w:t>
      </w:r>
    </w:p>
    <w:p>
      <w:pPr>
        <w:pStyle w:val="Normal"/>
        <w:shd w:fill="FBFBFB" w:val="clear"/>
        <w:spacing w:lineRule="atLeast" w:line="330" w:before="0" w:after="0"/>
        <w:textAlignment w:val="baseline"/>
        <w:rPr>
          <w:rFonts w:eastAsia="Times New Roman" w:cs="Arial" w:ascii="inherit" w:hAnsi="inherit"/>
          <w:b/>
          <w:bCs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b/>
          <w:bCs/>
          <w:color w:val="3C3E40"/>
          <w:sz w:val="21"/>
          <w:szCs w:val="21"/>
          <w:lang w:eastAsia="ru-RU"/>
        </w:rPr>
      </w:r>
    </w:p>
    <w:p>
      <w:pPr>
        <w:pStyle w:val="Normal"/>
        <w:shd w:fill="FBFBFB" w:val="clear"/>
        <w:spacing w:lineRule="atLeast" w:line="330" w:before="0" w:after="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b/>
          <w:bCs/>
          <w:color w:val="3C3E40"/>
          <w:sz w:val="21"/>
          <w:szCs w:val="21"/>
          <w:lang w:eastAsia="ru-RU"/>
        </w:rPr>
        <w:t>Приборами учета</w:t>
      </w: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 xml:space="preserve"> именуют совокупность приборов и устройств, отвечающих за измерение и учет электрической энергии (счетчики электроэнергии, измерительные трансформаторы тока и напряжения, датчики телеметрии, информационно - измерительные системы учета и линии связи) и связанных между собой по заданной схеме.</w:t>
      </w:r>
    </w:p>
    <w:p>
      <w:pPr>
        <w:pStyle w:val="Normal"/>
        <w:shd w:fill="FBFBFB" w:val="clear"/>
        <w:spacing w:lineRule="atLeast" w:line="330" w:before="0" w:after="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b/>
          <w:bCs/>
          <w:color w:val="3C3E40"/>
          <w:sz w:val="21"/>
          <w:szCs w:val="21"/>
          <w:lang w:eastAsia="ru-RU"/>
        </w:rPr>
        <w:t>Счетчиком электроэнергии</w:t>
      </w: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 является электроизмерительный прибор, служащий для учета потребленной или переданной электрической энергии, переменного или постоянного тока. Единицами измерения служат кВт*ч или А*ч.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b/>
          <w:color w:val="3C3E40"/>
          <w:sz w:val="21"/>
          <w:szCs w:val="21"/>
          <w:lang w:eastAsia="ru-RU"/>
        </w:rPr>
        <w:t>Расчетным счетчиком электроэнергии</w:t>
      </w: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 xml:space="preserve"> является счетчик, служащий для коммерческих расчетов между субъектами рынка.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Для учета электроэнергии применяют приборы учета, утвержденные федеральным органом исполнительной власти по техническому регулированию и метрологии и занесенные в госреестр средств измерений. Прибор ы учета должны иметь допустимый класс точности в соответствии с техническими регламентами и прочими обязательными требованиями, установленными для классификации средств измерений.</w:t>
      </w:r>
    </w:p>
    <w:p>
      <w:pPr>
        <w:pStyle w:val="Normal"/>
        <w:shd w:fill="FBFBFB" w:val="clear"/>
        <w:spacing w:lineRule="atLeast" w:line="330" w:before="0" w:after="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Счетчики электрической энергии для расчета энергоснабжающей организации с потребителями электроэнергии следует устанавливать на границе раздела балансовой принадлежности потребителя и сетевой организации. Если же расчетный счетчик находится не на границе балансовой принадлежности электросетей, объем отпущенной из сети (принятой в сети) электроэнергии рассчитывается, исходя из величины нормативных </w:t>
      </w:r>
      <w:hyperlink r:id="rId2">
        <w:r>
          <w:rPr>
            <w:rStyle w:val="Style13"/>
            <w:rFonts w:eastAsia="Times New Roman" w:cs="Arial" w:ascii="inherit" w:hAnsi="inherit"/>
            <w:color w:val="135092"/>
            <w:sz w:val="21"/>
            <w:szCs w:val="21"/>
            <w:lang w:eastAsia="ru-RU"/>
          </w:rPr>
          <w:t>потерь электроэнергии</w:t>
        </w:r>
      </w:hyperlink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, которые образуются на участке от границы балансовой принадлежности электросетей до самой точки учета, если сторонами не установлена иная коррекция.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Все счетчики должны быть установлены в легкодоступных для обслуживания техперсоналом сухих помещениях, в свободном для работы месте с температурой в зимний период не ниже 0 °С.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Не допускается монтировать счетчики в помещениях с агрессивными средами, а также в помещениях где температура зачастую превышает +40 °С.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Возможно размещение электросчетчиков в неотапливаемых помещениях, в шкафах наружной установки, коридорах распредустройств электростанций и подстанций. Однако в таких случаях следует предусмотреть их стационарное утепление в зимний период установкой утепляющих шкафов, колпаков с функцией подогрева воздуха внутри электролампой или иным нагревательным элементом для поддержания внутри колпака положительной температуры, которая не должна превышать +20 °С.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Счетчики следует устанавливать в шкафах, на панелях, щитах, в нишах, на стенах, в камерах комплектных распределительных устройств, предусматривающих жесткую конструкцию.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Счетчики следует монтировать на деревянных, пластмассовых или металлических щитках на высоте 0,8 - 1,7 м от пола до коробки зажимов счетчиков. Высота счетчика может быть менее 0,8 м, но не менее 0,4 м.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 xml:space="preserve">Счетчики следует убирать в запирающийся шкаф с окошком на уровне циферблата (ЖКИ), в местах с повышенной опасностью механических повреждений или загрязнения, а также в местах с доступом сторонних лиц (лестничные клетки, проходы, коридоры и т.п.). Такие шкафы подходят также для совместной установки и счетчиков и трансформаторов тока при создании точки учета у потребителя (на стороне низшего напряжения). 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 xml:space="preserve">Подбирать размеры и типы шкафов, щитков, ниш и т.д. следует исходя из обеспечения  удобного доступа к зажимам счетчиков и трансформаторов тока. Вместе с тем, обеспечивают возможность удобной замены счетчика и его монтажа под углом не более 1°. 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Также следует предусмотреть возможность отключения счетчика в целях безопасной установки и замены его в сетях напряжением до 380 В путем установки до него на расстоянии не превышающем 10 м коммутационного аппарата или предохранителей. Предусматривают снятие напряжения с каждой из фаз, присоединенных к счетчику.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После коммутационных аппаратов устанавливают трансформаторы тока, используемые для присоединения счетчиков на напряжении до 380 В, по направлению потока мощности.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shd w:fill="8DB3E2" w:val="clear"/>
        <w:rPr/>
      </w:pPr>
      <w:r>
        <w:rPr/>
      </w:r>
    </w:p>
    <w:p>
      <w:pPr>
        <w:pStyle w:val="Normal"/>
        <w:spacing w:lineRule="auto" w:line="240" w:before="0" w:after="0"/>
        <w:rPr>
          <w:rFonts w:eastAsia="Times New Roman" w:cs="Times New Roman" w:ascii="inherit" w:hAnsi="inherit"/>
          <w:b/>
          <w:sz w:val="28"/>
          <w:szCs w:val="28"/>
          <w:lang w:eastAsia="ru-RU"/>
        </w:rPr>
      </w:pPr>
      <w:r>
        <w:rPr>
          <w:rFonts w:eastAsia="Times New Roman" w:cs="Times New Roman" w:ascii="inherit" w:hAnsi="inherit"/>
          <w:b/>
          <w:sz w:val="28"/>
          <w:szCs w:val="28"/>
          <w:lang w:eastAsia="ru-RU"/>
        </w:rPr>
        <w:t>Требования, предъявляемые к расчетным счетчикам электроэнергии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Все установленные счетчики обязаны иметь на винтах крепления кожуха счетчика пломбы с оттиском госповерителя и пломбу сетевой организации на крышке счетчика.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Вновь устанавливаемые трехфазные счетчики должны содержать оттиски госповерки давностью не более 12 месяцев, а для однофазных счетчиков давность не должна превышать 2 лет.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К главным техническим параметрам электросчетчика можно отнести «класс точности», который показывает процент погрешности измерений прибора учета. Согласно «Правилам организации учета электроэнергии на розничных рынках» и «Основных положений функционирования розничных рынков электроэнергии», утвержденных Постановлением Правительства РФ от 04.05.2012 № 442, к контрольным и расчетным приборам учета электрической энергии, в зависимости от групп потребителей, применяют следующие требования:</w:t>
      </w:r>
    </w:p>
    <w:tbl>
      <w:tblPr>
        <w:tblW w:w="9355" w:type="dxa"/>
        <w:jc w:val="left"/>
        <w:tblInd w:w="45" w:type="dxa"/>
        <w:tblBorders>
          <w:top w:val="nil"/>
          <w:left w:val="single" w:sz="6" w:space="0" w:color="2F6FB5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150" w:type="dxa"/>
          <w:left w:w="52" w:type="dxa"/>
          <w:bottom w:w="180" w:type="dxa"/>
          <w:right w:w="60" w:type="dxa"/>
        </w:tblCellMar>
      </w:tblPr>
      <w:tblGrid>
        <w:gridCol w:w="2824"/>
        <w:gridCol w:w="1210"/>
        <w:gridCol w:w="1449"/>
        <w:gridCol w:w="2945"/>
        <w:gridCol w:w="927"/>
      </w:tblGrid>
      <w:tr>
        <w:trPr>
          <w:cantSplit w:val="false"/>
        </w:trPr>
        <w:tc>
          <w:tcPr>
            <w:tcW w:w="2824" w:type="dxa"/>
            <w:tcBorders>
              <w:top w:val="nil"/>
              <w:left w:val="single" w:sz="6" w:space="0" w:color="2F6FB5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43634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Категория потребителей</w:t>
            </w:r>
          </w:p>
        </w:tc>
        <w:tc>
          <w:tcPr>
            <w:tcW w:w="1210" w:type="dxa"/>
            <w:tcBorders>
              <w:top w:val="nil"/>
              <w:left w:val="single" w:sz="6" w:space="0" w:color="2F6FB5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43634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1449" w:type="dxa"/>
            <w:tcBorders>
              <w:top w:val="nil"/>
              <w:left w:val="single" w:sz="6" w:space="0" w:color="2F6FB5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43634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Подключение</w:t>
            </w:r>
          </w:p>
        </w:tc>
        <w:tc>
          <w:tcPr>
            <w:tcW w:w="2945" w:type="dxa"/>
            <w:tcBorders>
              <w:top w:val="nil"/>
              <w:left w:val="single" w:sz="6" w:space="0" w:color="2F6FB5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43634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Альтернативное условие</w:t>
            </w:r>
          </w:p>
        </w:tc>
        <w:tc>
          <w:tcPr>
            <w:tcW w:w="927" w:type="dxa"/>
            <w:tcBorders>
              <w:top w:val="nil"/>
              <w:left w:val="single" w:sz="6" w:space="0" w:color="2F6FB5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943634" w:val="clear"/>
            <w:tcMar>
              <w:left w:w="52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color w:val="FFFFFF"/>
                <w:sz w:val="18"/>
                <w:szCs w:val="18"/>
                <w:lang w:eastAsia="ru-RU"/>
              </w:rPr>
              <w:t>Класс точности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Граждане-потребители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 (счетчик на границе раздела объектов электросетевой организации и внутридомовых энергосистем МКЖД)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 кВ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Существующее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 момента вывода из работы, поломки, истечения срока межповерочного интервала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 (счетчик на границе раздела объектов электросетевой организации и внутридомовых энергосистем МКЖД)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0,4 кВ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Новое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При замене выведенного из работы, снятого при поломке прибора учета и по прошествии срока межповерочного интервала существующего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35 кВ и ниже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Существующее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 момента вывода из работы, поломки, истечения срока межповерочного интервала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2,0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35 кВ и ниже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Новое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При замене выведенного из работы, снятого при поломке прибора учета и по прошествии срока межповерочного интервала существующего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110 кВ и выше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Существующее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 момента вывода из работы, поломки, истечения срока межповерочного интервала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110 кВ и выше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Новое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При замене выведенного из работы, снятого при поломке прибора учета и по прошествии срока межповерочного интервала существующего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0,5S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не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Существующее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До момента вывода из работы, поломки, истечения срока межповерочного интервала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1,0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максимальная мощность которых не менее 670 кВт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Новое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При замене выведенного из работы, снятого при поломке прибора учета и по прошествии срока межповерочного интервала существующего прибора учета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0,5S и выше</w:t>
            </w:r>
          </w:p>
        </w:tc>
      </w:tr>
      <w:tr>
        <w:trPr>
          <w:cantSplit w:val="false"/>
        </w:trPr>
        <w:tc>
          <w:tcPr>
            <w:tcW w:w="2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Юридические лица и приравненные к ним, имеющие присоединение к объектам ЕНЭС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1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Не имеет значения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top w:w="120" w:type="dxa"/>
              <w:left w:w="55" w:type="dxa"/>
              <w:bottom w:w="1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  <w:t>0,5S и выше</w:t>
            </w:r>
          </w:p>
        </w:tc>
      </w:tr>
    </w:tbl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Новейшие электронные счетчики благодаря своей высокой технологичности, дают возможность снимать показания электрической энергии дифференцированно в зависимости от временного интервала. При желании разделить снятие показаний по тарифным зонам, потребители должны обратиться в энергосбытовую компанию с заявлением о заключении договора на электроснабжение с учетом действующих тарифов по времени суток. Такая двухтарифная система, действует уже не один год, ночной период длится с 23.00 до 7.00, следом дневной период с 7.00 до 23.00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shd w:fill="8DB3E2" w:val="clear"/>
        <w:spacing w:lineRule="auto" w:line="240" w:before="0" w:after="0"/>
        <w:rPr>
          <w:rFonts w:eastAsia="Times New Roman" w:cs="Times New Roman" w:ascii="inherit" w:hAnsi="inherit"/>
          <w:sz w:val="28"/>
          <w:szCs w:val="28"/>
          <w:lang w:eastAsia="ru-RU"/>
        </w:rPr>
      </w:pPr>
      <w:r>
        <w:rPr>
          <w:rFonts w:eastAsia="Times New Roman" w:cs="Times New Roman" w:ascii="inherit" w:hAnsi="inherit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inherit" w:hAnsi="inherit"/>
          <w:b/>
          <w:sz w:val="28"/>
          <w:szCs w:val="28"/>
          <w:lang w:eastAsia="ru-RU"/>
        </w:rPr>
      </w:pPr>
      <w:r>
        <w:rPr>
          <w:rFonts w:eastAsia="Times New Roman" w:cs="Times New Roman" w:ascii="inherit" w:hAnsi="inherit"/>
          <w:b/>
          <w:sz w:val="28"/>
          <w:szCs w:val="28"/>
          <w:lang w:eastAsia="ru-RU"/>
        </w:rPr>
        <w:t>Требования, предъявляемые к измерительным трансформаторам тока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Для подключения расчетных счетчиков электрической энергии применяют измерительные трансформаторы тока с классом точности не превышающим 0,5.</w:t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Присоединение вторичных обмоток трансформаторов тока к токовым обмоткам счетчиков положено проводить, не затрагивая цепи защиты и совместно с электроизмерительным оборудованием.</w:t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Включение в цепь промежуточных трансформаторов тока для подключения расчетных счетчиков электроэнергии запрещено</w:t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Трансформаторы тока можно устанавливать, намеренно завышая коэффициент (исходя из условий термической и электродинамической стойкости шин), если при максимальной нагрузке ток во вторичной обмотке измерительного трансформатора тока будет не менее 40 % от допустимого тока счетчика, а при минимальной нагрузке - не менее 5 %.</w:t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У измерительных трансформаторов тока нагрузка на вторичные обмотки, к которым присоединяются счетчики, не должна быть выше допустимых номиналов.</w:t>
      </w:r>
    </w:p>
    <w:p>
      <w:pPr>
        <w:pStyle w:val="Normal"/>
        <w:shd w:fill="FBFBFB" w:val="clear"/>
        <w:spacing w:lineRule="atLeast" w:line="330" w:before="0" w:after="36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Длина и сечение кабелей и проводов в цепях напряжения расчетных счетчиков выбираются исходя из потерь напряжения в цепях не превышая 0,25 % номинального напряжения при включении от трансформаторов напряжения класса точности 0,5. Чтобы учесть данное требование разрешается применять отдельные кабели от счетчиков к трансформаторам напряжения.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ageBreakBefore/>
        <w:rPr>
          <w:lang w:val="en-US"/>
        </w:rPr>
      </w:pPr>
      <w:r>
        <w:rPr>
          <w:lang w:val="en-US"/>
        </w:rPr>
      </w:r>
    </w:p>
    <w:p>
      <w:pPr>
        <w:pStyle w:val="Normal"/>
        <w:shd w:fill="548DD4" w:val="clear"/>
        <w:spacing w:lineRule="auto" w:line="240" w:before="0" w:after="0"/>
        <w:rPr>
          <w:rFonts w:eastAsia="Times New Roman" w:cs="Times New Roman" w:ascii="inherit" w:hAnsi="inherit"/>
          <w:sz w:val="24"/>
          <w:szCs w:val="24"/>
          <w:lang w:val="en-US" w:eastAsia="ru-RU"/>
        </w:rPr>
      </w:pPr>
      <w:bookmarkStart w:id="1" w:name="_GoBack"/>
      <w:bookmarkStart w:id="2" w:name="_GoBack"/>
      <w:bookmarkEnd w:id="2"/>
      <w:r>
        <w:rPr>
          <w:rFonts w:eastAsia="Times New Roman" w:cs="Times New Roman" w:ascii="inherit" w:hAnsi="inherit"/>
          <w:sz w:val="24"/>
          <w:szCs w:val="24"/>
          <w:lang w:val="en-US"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inherit" w:hAnsi="inherit"/>
          <w:b/>
          <w:sz w:val="28"/>
          <w:szCs w:val="28"/>
          <w:lang w:eastAsia="ru-RU"/>
        </w:rPr>
      </w:pPr>
      <w:r>
        <w:rPr>
          <w:rFonts w:eastAsia="Times New Roman" w:cs="Times New Roman" w:ascii="inherit" w:hAnsi="inherit"/>
          <w:b/>
          <w:sz w:val="28"/>
          <w:szCs w:val="28"/>
          <w:lang w:eastAsia="ru-RU"/>
        </w:rPr>
        <w:t>Неисправный счетчик? Как установить или заменить?</w:t>
      </w:r>
    </w:p>
    <w:p>
      <w:pPr>
        <w:pStyle w:val="Normal"/>
        <w:spacing w:lineRule="auto" w:line="240" w:before="0" w:after="0"/>
        <w:rPr>
          <w:rFonts w:eastAsia="Times New Roman" w:cs="Times New Roman" w:ascii="inherit" w:hAnsi="inherit"/>
          <w:b/>
          <w:sz w:val="28"/>
          <w:szCs w:val="28"/>
          <w:lang w:eastAsia="ru-RU"/>
        </w:rPr>
      </w:pPr>
      <w:r>
        <w:rPr>
          <w:rFonts w:eastAsia="Times New Roman" w:cs="Times New Roman" w:ascii="inherit" w:hAnsi="inherit"/>
          <w:b/>
          <w:sz w:val="28"/>
          <w:szCs w:val="28"/>
          <w:lang w:eastAsia="ru-RU"/>
        </w:rPr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В соответствии с правилами организации учета электроэнергии на розничных рынках и основных положений функционирования розничных рынков электроэнергии, утвержденных постановлением Правительства РФ от 04.05.2012 № 442 собственник энергопринимающего оборудования несет ответственность по оборудованию пункта приема электроэнергии приборами учета, а также по восстановлению учета электрической энергии, если прибор или комплекс приборов вышел из строя, путем закупки и установки нового прибора учета, соответствующего всем нормативам.</w:t>
      </w:r>
    </w:p>
    <w:p>
      <w:pPr>
        <w:pStyle w:val="Normal"/>
        <w:shd w:fill="FBFBFB" w:val="clear"/>
        <w:spacing w:lineRule="atLeast" w:line="330" w:before="0" w:after="45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Работники ООО «РЭС» оказывают услуги по установке и замене приборов учета электроэнергии физическим, юридическим и приравненным к ним потребителям в соответствии сдоговором оказания услуг.</w:t>
      </w:r>
    </w:p>
    <w:p>
      <w:pPr>
        <w:pStyle w:val="Normal"/>
        <w:shd w:fill="FBFBFB" w:val="clear"/>
        <w:spacing w:lineRule="atLeast" w:line="330"/>
        <w:textAlignment w:val="baseline"/>
        <w:rPr>
          <w:rFonts w:eastAsia="Times New Roman" w:cs="Arial" w:ascii="inherit" w:hAnsi="inherit"/>
          <w:color w:val="3C3E40"/>
          <w:sz w:val="21"/>
          <w:szCs w:val="21"/>
          <w:lang w:eastAsia="ru-RU"/>
        </w:rPr>
      </w:pPr>
      <w:r>
        <w:rPr>
          <w:rFonts w:eastAsia="Times New Roman" w:cs="Arial" w:ascii="inherit" w:hAnsi="inherit"/>
          <w:color w:val="3C3E40"/>
          <w:sz w:val="21"/>
          <w:szCs w:val="21"/>
          <w:lang w:eastAsia="ru-RU"/>
        </w:rPr>
        <w:t>ООО «РЭС» также предлагает услугу по перепрограммированию многотарифных счетчиков.</w:t>
      </w:r>
    </w:p>
    <w:p>
      <w:pPr>
        <w:pStyle w:val="Normal"/>
        <w:shd w:fill="FFFFFF" w:val="clear"/>
        <w:spacing w:lineRule="auto" w:line="240" w:before="0" w:after="150"/>
        <w:rPr/>
      </w:pPr>
      <w:r>
        <w:rPr/>
      </w:r>
    </w:p>
    <w:p>
      <w:pPr>
        <w:pStyle w:val="Normal"/>
        <w:shd w:fill="FFFFFF" w:val="clear"/>
        <w:spacing w:lineRule="auto" w:line="240" w:before="0" w:after="150"/>
        <w:rPr>
          <w:rStyle w:val="Style13"/>
          <w:rFonts w:eastAsia="Times New Roman" w:cs="Arial" w:ascii="Arial" w:hAnsi="Arial"/>
          <w:b/>
          <w:bCs/>
          <w:color w:val="002780"/>
          <w:sz w:val="18"/>
          <w:szCs w:val="18"/>
          <w:u w:val="single"/>
          <w:lang w:eastAsia="ru-RU"/>
        </w:rPr>
      </w:pPr>
      <w:hyperlink r:id="rId3">
        <w:r>
          <w:rPr>
            <w:rStyle w:val="Style13"/>
            <w:rFonts w:eastAsia="Times New Roman" w:cs="Arial" w:ascii="Arial" w:hAnsi="Arial"/>
            <w:b/>
            <w:bCs/>
            <w:color w:val="002780"/>
            <w:sz w:val="18"/>
            <w:szCs w:val="18"/>
            <w:u w:val="single"/>
            <w:lang w:eastAsia="ru-RU"/>
          </w:rPr>
          <w:t>Цены на счетчики электроэнергии 2015г.</w:t>
        </w:r>
      </w:hyperlink>
    </w:p>
    <w:p>
      <w:pPr>
        <w:pStyle w:val="Normal"/>
        <w:shd w:fill="FBFBFB" w:val="clear"/>
        <w:spacing w:lineRule="atLeast" w:line="330"/>
        <w:textAlignment w:val="baseline"/>
        <w:rPr>
          <w:rStyle w:val="Style13"/>
          <w:rFonts w:eastAsia="Times New Roman" w:cs="Arial" w:ascii="Arial" w:hAnsi="Arial"/>
          <w:b/>
          <w:bCs/>
          <w:color w:val="002780"/>
          <w:sz w:val="18"/>
          <w:szCs w:val="18"/>
          <w:u w:val="single"/>
          <w:lang w:eastAsia="ru-RU"/>
        </w:rPr>
      </w:pPr>
      <w:hyperlink r:id="rId4">
        <w:r>
          <w:rPr>
            <w:rStyle w:val="Style13"/>
            <w:rFonts w:eastAsia="Times New Roman" w:cs="Arial" w:ascii="Arial" w:hAnsi="Arial"/>
            <w:b/>
            <w:bCs/>
            <w:color w:val="002780"/>
            <w:sz w:val="18"/>
            <w:szCs w:val="18"/>
            <w:u w:val="single"/>
            <w:lang w:eastAsia="ru-RU"/>
          </w:rPr>
          <w:t>Стоимость услуг, оказываемых ООО "РЭС".</w:t>
        </w:r>
      </w:hyperlink>
    </w:p>
    <w:p>
      <w:pPr>
        <w:pStyle w:val="Normal"/>
        <w:rPr/>
      </w:pPr>
      <w:bookmarkStart w:id="3" w:name="_GoBack"/>
      <w:bookmarkStart w:id="4" w:name="_GoBack"/>
      <w:bookmarkEnd w:id="4"/>
      <w:r>
        <w:rPr/>
      </w:r>
    </w:p>
    <w:sectPr>
      <w:type w:val="nextPage"/>
      <w:pgSz w:w="11906" w:h="16838"/>
      <w:pgMar w:left="1701" w:right="850" w:header="0" w:top="709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herit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1">
    <w:name w:val="Заголовок 1"/>
    <w:uiPriority w:val="9"/>
    <w:qFormat/>
    <w:link w:val="10"/>
    <w:rsid w:val="00430f3e"/>
    <w:basedOn w:val="Normal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430f3e"/>
    <w:basedOn w:val="DefaultParagraphFont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Appleconvertedspace" w:customStyle="1">
    <w:name w:val="apple-converted-space"/>
    <w:rsid w:val="00430f3e"/>
    <w:basedOn w:val="DefaultParagraphFont"/>
    <w:rPr/>
  </w:style>
  <w:style w:type="character" w:styleId="Style13">
    <w:name w:val="Интернет-ссылка"/>
    <w:uiPriority w:val="99"/>
    <w:semiHidden/>
    <w:unhideWhenUsed/>
    <w:rsid w:val="00430f3e"/>
    <w:basedOn w:val="DefaultParagraphFont"/>
    <w:rPr>
      <w:color w:val="0000FF"/>
      <w:u w:val="single"/>
      <w:lang w:val="zxx" w:eastAsia="zxx" w:bidi="zxx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430f3e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rsk-1.ru/clients/transmission/electric_transmissio/" TargetMode="External"/><Relationship Id="rId3" Type="http://schemas.openxmlformats.org/officeDocument/2006/relationships/hyperlink" Target="http://www.samaraenergo.ru/buyer/devices/preis_schetchiki_02_2014.pdf" TargetMode="External"/><Relationship Id="rId4" Type="http://schemas.openxmlformats.org/officeDocument/2006/relationships/hyperlink" Target="http://www.samaraenergo.ru/buyer/devices/preis_uslugi_2014_02.pdf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2015-02-10T11:58:00Z</dcterms:created>
  <dc:creator>Кривоносонова МА</dc:creator>
  <dc:language>ru-RU</dc:language>
  <cp:lastModifiedBy>Кривоносонова МА</cp:lastModifiedBy>
  <cp:lastPrinted>2015-02-12T11:26:00Z</cp:lastPrinted>
  <dcterms:modified xsi:type="dcterms:W3CDTF">2015-02-12T11:27:00Z</dcterms:modified>
  <cp:revision>11</cp:revision>
</cp:coreProperties>
</file>